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7D5A6" w14:textId="77777777" w:rsidR="006D1B0B" w:rsidRDefault="00B870B0">
      <w:pPr>
        <w:pStyle w:val="Heading1"/>
        <w:spacing w:before="0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0205839" wp14:editId="63E5537A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80000" cy="1141852"/>
            <wp:effectExtent l="0" t="0" r="0" b="0"/>
            <wp:wrapSquare wrapText="bothSides" distT="0" distB="0" distL="114300" distR="11430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1418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>Using Smartphones in Multi-Modal Qualitative Research</w:t>
      </w:r>
    </w:p>
    <w:p w14:paraId="45BC34EB" w14:textId="77777777" w:rsidR="006D1B0B" w:rsidRDefault="00B870B0">
      <w:pPr>
        <w:pStyle w:val="Heading2"/>
      </w:pPr>
      <w:r>
        <w:t>Supporting Document</w:t>
      </w:r>
    </w:p>
    <w:p w14:paraId="7E082C3A" w14:textId="77777777" w:rsidR="00B870B0" w:rsidRDefault="00B870B0" w:rsidP="00B870B0">
      <w:r>
        <w:t xml:space="preserve">Part of the resource: </w:t>
      </w:r>
      <w:hyperlink r:id="rId8" w:history="1">
        <w:r w:rsidRPr="005833F1">
          <w:rPr>
            <w:rStyle w:val="Hyperlink"/>
          </w:rPr>
          <w:t>https://www.ncrm.ac.uk/resources/online/all/?id=20856</w:t>
        </w:r>
      </w:hyperlink>
    </w:p>
    <w:p w14:paraId="6046FFA0" w14:textId="1A95AB2D" w:rsidR="006D1B0B" w:rsidRDefault="006D1B0B"/>
    <w:p w14:paraId="1EC97851" w14:textId="77777777" w:rsidR="006D1B0B" w:rsidRDefault="006D1B0B"/>
    <w:p w14:paraId="32197113" w14:textId="77777777" w:rsidR="006D1B0B" w:rsidRDefault="00B870B0">
      <w:pPr>
        <w:pStyle w:val="Heading2"/>
      </w:pPr>
      <w:bookmarkStart w:id="0" w:name="_heading=h.otfd3ycr1sow" w:colFirst="0" w:colLast="0"/>
      <w:bookmarkEnd w:id="0"/>
      <w:r>
        <w:t>Affordances and Limitations of Different Data Modalities</w:t>
      </w:r>
    </w:p>
    <w:p w14:paraId="1513C1D8" w14:textId="77777777" w:rsidR="006D1B0B" w:rsidRDefault="00B870B0">
      <w:r>
        <w:t>This table offers an overview of the main affordances and limitations associated with the most common data modalities or formats.</w:t>
      </w:r>
    </w:p>
    <w:p w14:paraId="32002A13" w14:textId="77777777" w:rsidR="006D1B0B" w:rsidRDefault="006D1B0B"/>
    <w:sdt>
      <w:sdtPr>
        <w:tag w:val="goog_rdk_0"/>
        <w:id w:val="1617477308"/>
        <w:lock w:val="contentLocked"/>
      </w:sdtPr>
      <w:sdtEndPr/>
      <w:sdtContent>
        <w:tbl>
          <w:tblPr>
            <w:tblStyle w:val="a0"/>
            <w:tblW w:w="10215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2385"/>
            <w:gridCol w:w="3780"/>
            <w:gridCol w:w="4050"/>
          </w:tblGrid>
          <w:tr w:rsidR="006D1B0B" w14:paraId="428905FF" w14:textId="77777777">
            <w:tc>
              <w:tcPr>
                <w:tcW w:w="23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B5AF3FE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>Data Modality</w:t>
                </w:r>
              </w:p>
            </w:tc>
            <w:tc>
              <w:tcPr>
                <w:tcW w:w="37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B4F2FFC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>Affordances</w:t>
                </w:r>
              </w:p>
              <w:p w14:paraId="27F0D926" w14:textId="77777777" w:rsidR="006D1B0B" w:rsidRDefault="006D1B0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</w:rPr>
                </w:pPr>
              </w:p>
            </w:tc>
            <w:tc>
              <w:tcPr>
                <w:tcW w:w="40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DC7515B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>Limitations</w:t>
                </w:r>
              </w:p>
            </w:tc>
          </w:tr>
          <w:tr w:rsidR="006D1B0B" w14:paraId="6AE74A5E" w14:textId="77777777">
            <w:tc>
              <w:tcPr>
                <w:tcW w:w="23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DB7DDBB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Text</w:t>
                </w:r>
              </w:p>
              <w:p w14:paraId="31C21D76" w14:textId="77777777" w:rsidR="006D1B0B" w:rsidRDefault="006D1B0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37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EF0F920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200" w:after="0" w:line="240" w:lineRule="auto"/>
                </w:pPr>
                <w:r>
                  <w:t>- Enables swift, asynchronous logging;</w:t>
                </w:r>
              </w:p>
              <w:p w14:paraId="7D9248D7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200" w:after="0" w:line="240" w:lineRule="auto"/>
                </w:pPr>
                <w:r>
                  <w:t>- Allows for anonymity;</w:t>
                </w:r>
              </w:p>
              <w:p w14:paraId="700168FF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200" w:after="0" w:line="240" w:lineRule="auto"/>
                </w:pPr>
                <w:r>
                  <w:t>- Low participant burden (i.e. can record snippets only);</w:t>
                </w:r>
              </w:p>
              <w:p w14:paraId="0125F973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200" w:after="0" w:line="240" w:lineRule="auto"/>
                </w:pPr>
                <w:r>
                  <w:t>- Traditional qualitative coding (manual or software-assisted)</w:t>
                </w:r>
              </w:p>
              <w:p w14:paraId="28DF592A" w14:textId="77777777" w:rsidR="006D1B0B" w:rsidRDefault="006D1B0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200" w:after="0" w:line="240" w:lineRule="auto"/>
                </w:pPr>
              </w:p>
            </w:tc>
            <w:tc>
              <w:tcPr>
                <w:tcW w:w="40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B6C766E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200" w:after="0" w:line="240" w:lineRule="auto"/>
                </w:pPr>
                <w:r>
                  <w:t>- Some participants may feel discomfort with typing (e.g. older adults, people with dexterity issues, people with low literacy);</w:t>
                </w:r>
              </w:p>
              <w:p w14:paraId="2B081498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200" w:after="0" w:line="240" w:lineRule="auto"/>
                </w:pPr>
                <w:r>
                  <w:t>- Prone to misinterpretation due to typographical errors and the brevity of responses</w:t>
                </w:r>
              </w:p>
              <w:p w14:paraId="700AD702" w14:textId="77777777" w:rsidR="006D1B0B" w:rsidRDefault="006D1B0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200" w:after="0" w:line="240" w:lineRule="auto"/>
                </w:pPr>
              </w:p>
            </w:tc>
          </w:tr>
          <w:tr w:rsidR="006D1B0B" w14:paraId="5A09C50A" w14:textId="77777777">
            <w:tc>
              <w:tcPr>
                <w:tcW w:w="23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61CEA44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Visual (images)</w:t>
                </w:r>
              </w:p>
            </w:tc>
            <w:tc>
              <w:tcPr>
                <w:tcW w:w="37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E53FEC1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200" w:after="0" w:line="240" w:lineRule="auto"/>
                </w:pPr>
                <w:r>
                  <w:t>- Captures rich and evocative contextual detail;</w:t>
                </w:r>
              </w:p>
              <w:p w14:paraId="576119F6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200" w:after="0" w:line="240" w:lineRule="auto"/>
                </w:pPr>
                <w:r>
                  <w:t>- Allows for participant creativity, self-expression and empowerment;</w:t>
                </w:r>
              </w:p>
              <w:p w14:paraId="432DE921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200" w:after="0" w:line="240" w:lineRule="auto"/>
                </w:pPr>
                <w:r>
                  <w:t>- Helps express emotions that are difficult to verbalise</w:t>
                </w:r>
              </w:p>
              <w:p w14:paraId="53556D01" w14:textId="77777777" w:rsidR="006D1B0B" w:rsidRDefault="006D1B0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200" w:after="0" w:line="240" w:lineRule="auto"/>
                </w:pPr>
              </w:p>
            </w:tc>
            <w:tc>
              <w:tcPr>
                <w:tcW w:w="40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F43AD49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200" w:after="0" w:line="240" w:lineRule="auto"/>
                </w:pPr>
                <w:r>
                  <w:t>- Anonymity and privacy risks;</w:t>
                </w:r>
              </w:p>
              <w:p w14:paraId="325B8EE7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200" w:after="0" w:line="240" w:lineRule="auto"/>
                </w:pPr>
                <w:r>
                  <w:t>- May be difficult to interpret without accompanying descriptors or in-person participant elaboration (i.e. photo elicitation);</w:t>
                </w:r>
              </w:p>
              <w:p w14:paraId="7D861565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200" w:after="0" w:line="240" w:lineRule="auto"/>
                </w:pPr>
                <w:r>
                  <w:t>- Uncertainty and inexperience about how and whether to code visual data</w:t>
                </w:r>
              </w:p>
              <w:p w14:paraId="1BEFCFF6" w14:textId="77777777" w:rsidR="006D1B0B" w:rsidRDefault="006D1B0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200" w:after="0" w:line="240" w:lineRule="auto"/>
                </w:pPr>
              </w:p>
            </w:tc>
          </w:tr>
          <w:tr w:rsidR="006D1B0B" w14:paraId="2FA729C3" w14:textId="77777777">
            <w:tc>
              <w:tcPr>
                <w:tcW w:w="23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3D90512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Audio</w:t>
                </w:r>
              </w:p>
            </w:tc>
            <w:tc>
              <w:tcPr>
                <w:tcW w:w="37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7A467B7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200" w:after="0" w:line="240" w:lineRule="auto"/>
                </w:pPr>
                <w:r>
                  <w:t xml:space="preserve">- Captures rich and evocative contextual detail (incl. tone of </w:t>
                </w:r>
                <w:r>
                  <w:lastRenderedPageBreak/>
                  <w:t>voice, mood, surroundings);</w:t>
                </w:r>
              </w:p>
              <w:p w14:paraId="792BD20F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200" w:after="0" w:line="240" w:lineRule="auto"/>
                </w:pPr>
                <w:r>
                  <w:t>- More naturalistic than typing;</w:t>
                </w:r>
              </w:p>
              <w:p w14:paraId="21268FF3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200" w:after="0" w:line="240" w:lineRule="auto"/>
                </w:pPr>
                <w:r>
                  <w:t>- Can be used to collect diary-style data;</w:t>
                </w:r>
              </w:p>
              <w:p w14:paraId="5F6D128D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200" w:after="0" w:line="240" w:lineRule="auto"/>
                </w:pPr>
                <w:r>
                  <w:t>- Can be transcribed and analysed directly</w:t>
                </w:r>
              </w:p>
              <w:p w14:paraId="766D8AAE" w14:textId="77777777" w:rsidR="006D1B0B" w:rsidRDefault="006D1B0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200" w:after="0" w:line="240" w:lineRule="auto"/>
                </w:pPr>
              </w:p>
            </w:tc>
            <w:tc>
              <w:tcPr>
                <w:tcW w:w="40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36E1EC8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200" w:after="0" w:line="240" w:lineRule="auto"/>
                </w:pPr>
                <w:r>
                  <w:lastRenderedPageBreak/>
                  <w:t>- Anonymity and privacy risks;</w:t>
                </w:r>
              </w:p>
              <w:p w14:paraId="129FDC50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200" w:after="0" w:line="240" w:lineRule="auto"/>
                </w:pPr>
                <w:r>
                  <w:lastRenderedPageBreak/>
                  <w:t>- Risk of oversharing;</w:t>
                </w:r>
              </w:p>
              <w:p w14:paraId="19D3B3FE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200" w:after="0" w:line="240" w:lineRule="auto"/>
                </w:pPr>
                <w:r>
                  <w:t>- Background noise can impede clarity;</w:t>
                </w:r>
              </w:p>
              <w:p w14:paraId="69ACE353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200" w:after="0" w:line="240" w:lineRule="auto"/>
                </w:pPr>
                <w:r>
                  <w:t>- Higher storage and transcription requirements</w:t>
                </w:r>
              </w:p>
              <w:p w14:paraId="2899CF01" w14:textId="77777777" w:rsidR="006D1B0B" w:rsidRDefault="006D1B0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200" w:after="0" w:line="240" w:lineRule="auto"/>
                </w:pPr>
              </w:p>
            </w:tc>
          </w:tr>
          <w:tr w:rsidR="006D1B0B" w14:paraId="4136912A" w14:textId="77777777">
            <w:tc>
              <w:tcPr>
                <w:tcW w:w="23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AF9F3DC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lastRenderedPageBreak/>
                  <w:t>Video</w:t>
                </w:r>
              </w:p>
            </w:tc>
            <w:tc>
              <w:tcPr>
                <w:tcW w:w="37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20D067B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200" w:after="0" w:line="240" w:lineRule="auto"/>
                </w:pPr>
                <w:r>
                  <w:t>- Captures the richest contextual detail (incl. emotional expression, environment, movement);</w:t>
                </w:r>
              </w:p>
              <w:p w14:paraId="68BE6211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200" w:after="0" w:line="240" w:lineRule="auto"/>
                </w:pPr>
                <w:r>
                  <w:t>- Can be used to collect diary-style data</w:t>
                </w:r>
              </w:p>
              <w:p w14:paraId="6AC507A8" w14:textId="77777777" w:rsidR="006D1B0B" w:rsidRDefault="006D1B0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200" w:after="0" w:line="240" w:lineRule="auto"/>
                </w:pPr>
              </w:p>
            </w:tc>
            <w:tc>
              <w:tcPr>
                <w:tcW w:w="40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3C39DF0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200" w:after="0" w:line="240" w:lineRule="auto"/>
                </w:pPr>
                <w:r>
                  <w:t>- Anonymity and privacy risks;</w:t>
                </w:r>
              </w:p>
              <w:p w14:paraId="228EB4DD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200" w:after="0" w:line="240" w:lineRule="auto"/>
                </w:pPr>
                <w:r>
                  <w:t>- Higher storage and transcription requirements;</w:t>
                </w:r>
              </w:p>
              <w:p w14:paraId="57BD505C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200" w:after="0" w:line="240" w:lineRule="auto"/>
                </w:pPr>
                <w:r>
                  <w:t>- More complex to analyse</w:t>
                </w:r>
              </w:p>
              <w:p w14:paraId="14C0BD9B" w14:textId="77777777" w:rsidR="006D1B0B" w:rsidRDefault="006D1B0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200" w:after="0" w:line="240" w:lineRule="auto"/>
                </w:pPr>
              </w:p>
            </w:tc>
          </w:tr>
          <w:tr w:rsidR="006D1B0B" w14:paraId="18766F76" w14:textId="77777777">
            <w:tc>
              <w:tcPr>
                <w:tcW w:w="23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56BD864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Geospatial</w:t>
                </w:r>
              </w:p>
            </w:tc>
            <w:tc>
              <w:tcPr>
                <w:tcW w:w="37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5594FE3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200" w:after="0" w:line="240" w:lineRule="auto"/>
                </w:pPr>
                <w:r>
                  <w:t>- Records movement, location and spatial patterns;</w:t>
                </w:r>
              </w:p>
              <w:p w14:paraId="7E5AB651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200" w:after="0" w:line="240" w:lineRule="auto"/>
                </w:pPr>
                <w:r>
                  <w:t>- Useful for mapping social and environmental interactions and mobilities</w:t>
                </w:r>
              </w:p>
              <w:p w14:paraId="79112F31" w14:textId="77777777" w:rsidR="006D1B0B" w:rsidRDefault="006D1B0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200" w:after="0" w:line="240" w:lineRule="auto"/>
                </w:pPr>
              </w:p>
            </w:tc>
            <w:tc>
              <w:tcPr>
                <w:tcW w:w="40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34C6F0D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200" w:after="0" w:line="240" w:lineRule="auto"/>
                </w:pPr>
                <w:r>
                  <w:t>- Anonymity and privacy risks;</w:t>
                </w:r>
              </w:p>
              <w:p w14:paraId="464D1020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200" w:after="0" w:line="240" w:lineRule="auto"/>
                </w:pPr>
                <w:r>
                  <w:t>- Requires technical knowledge for set-up and analysis</w:t>
                </w:r>
              </w:p>
              <w:p w14:paraId="157083A1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200" w:after="0" w:line="240" w:lineRule="auto"/>
                </w:pPr>
              </w:p>
            </w:tc>
          </w:tr>
        </w:tbl>
      </w:sdtContent>
    </w:sdt>
    <w:p w14:paraId="129ECFA5" w14:textId="77777777" w:rsidR="006D1B0B" w:rsidRDefault="006D1B0B"/>
    <w:p w14:paraId="7190B53F" w14:textId="77777777" w:rsidR="006D1B0B" w:rsidRDefault="006D1B0B"/>
    <w:p w14:paraId="57861697" w14:textId="77777777" w:rsidR="006D1B0B" w:rsidRDefault="006D1B0B"/>
    <w:p w14:paraId="4E1D7D7D" w14:textId="77777777" w:rsidR="006D1B0B" w:rsidRDefault="006D1B0B"/>
    <w:p w14:paraId="5C640E0F" w14:textId="77777777" w:rsidR="006D1B0B" w:rsidRDefault="006D1B0B"/>
    <w:p w14:paraId="057C33A3" w14:textId="77777777" w:rsidR="006D1B0B" w:rsidRDefault="006D1B0B"/>
    <w:p w14:paraId="08D5B40F" w14:textId="77777777" w:rsidR="006D1B0B" w:rsidRDefault="006D1B0B"/>
    <w:p w14:paraId="09694DA3" w14:textId="77777777" w:rsidR="006D1B0B" w:rsidRDefault="006D1B0B"/>
    <w:p w14:paraId="27D423CF" w14:textId="77777777" w:rsidR="006D1B0B" w:rsidRDefault="006D1B0B"/>
    <w:p w14:paraId="106E7B84" w14:textId="77777777" w:rsidR="006D1B0B" w:rsidRDefault="006D1B0B"/>
    <w:p w14:paraId="79853D15" w14:textId="77777777" w:rsidR="006D1B0B" w:rsidRDefault="00B870B0">
      <w:pPr>
        <w:pStyle w:val="Heading2"/>
      </w:pPr>
      <w:bookmarkStart w:id="1" w:name="_heading=h.vbde5e63up7w" w:colFirst="0" w:colLast="0"/>
      <w:bookmarkEnd w:id="1"/>
      <w:r>
        <w:lastRenderedPageBreak/>
        <w:t>Smartphone-Assisted Multi-Modal Designs</w:t>
      </w:r>
    </w:p>
    <w:p w14:paraId="07854F6F" w14:textId="77777777" w:rsidR="006D1B0B" w:rsidRDefault="00B870B0">
      <w:r>
        <w:t>This table presents several hypothetical smartphone-assisted multi-modal designs — exemplifying various combinations of modalities and formats.</w:t>
      </w:r>
    </w:p>
    <w:p w14:paraId="20451218" w14:textId="77777777" w:rsidR="006D1B0B" w:rsidRDefault="006D1B0B"/>
    <w:sdt>
      <w:sdtPr>
        <w:tag w:val="goog_rdk_1"/>
        <w:id w:val="-2002423838"/>
        <w:lock w:val="contentLocked"/>
      </w:sdtPr>
      <w:sdtEndPr/>
      <w:sdtContent>
        <w:tbl>
          <w:tblPr>
            <w:tblStyle w:val="a1"/>
            <w:tblW w:w="10198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2549"/>
            <w:gridCol w:w="2549"/>
            <w:gridCol w:w="2550"/>
            <w:gridCol w:w="2550"/>
          </w:tblGrid>
          <w:tr w:rsidR="006D1B0B" w14:paraId="7645876A" w14:textId="77777777">
            <w:tc>
              <w:tcPr>
                <w:tcW w:w="254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4D3E21C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>Research Question</w:t>
                </w:r>
              </w:p>
            </w:tc>
            <w:tc>
              <w:tcPr>
                <w:tcW w:w="254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F961947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>How Smartphones Facilitate Data Collection</w:t>
                </w:r>
              </w:p>
              <w:p w14:paraId="5C5468BF" w14:textId="77777777" w:rsidR="006D1B0B" w:rsidRDefault="006D1B0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</w:rPr>
                </w:pPr>
              </w:p>
            </w:tc>
            <w:tc>
              <w:tcPr>
                <w:tcW w:w="254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D434AD1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>Modalities</w:t>
                </w:r>
              </w:p>
            </w:tc>
            <w:tc>
              <w:tcPr>
                <w:tcW w:w="254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99A0F31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>Analysis Options</w:t>
                </w:r>
              </w:p>
            </w:tc>
          </w:tr>
          <w:tr w:rsidR="006D1B0B" w14:paraId="49F54886" w14:textId="77777777">
            <w:tc>
              <w:tcPr>
                <w:tcW w:w="254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468EBAF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How do frontline healthcare workers find meaning and fulfilment in their work during COVID-19?</w:t>
                </w:r>
              </w:p>
            </w:tc>
            <w:tc>
              <w:tcPr>
                <w:tcW w:w="254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8269448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Use text notes or video diaries for real-time reflections during or after shifts;</w:t>
                </w:r>
              </w:p>
              <w:p w14:paraId="6B1363B9" w14:textId="77777777" w:rsidR="006D1B0B" w:rsidRDefault="006D1B0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  <w:p w14:paraId="61E59AAE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Offer immediacy and intimacy;</w:t>
                </w:r>
              </w:p>
              <w:p w14:paraId="406BE365" w14:textId="77777777" w:rsidR="006D1B0B" w:rsidRDefault="006D1B0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  <w:p w14:paraId="05FF7FE6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Diary-style entries can foster reflection and solidarity (Davidson et al., 2024)</w:t>
                </w:r>
              </w:p>
              <w:p w14:paraId="35DA44BE" w14:textId="77777777" w:rsidR="006D1B0B" w:rsidRDefault="006D1B0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54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18BEA9E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TEXT + VIDEO</w:t>
                </w:r>
              </w:p>
            </w:tc>
            <w:tc>
              <w:tcPr>
                <w:tcW w:w="254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FB46EB7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Thematic or content analysis of text entries to reveal significant themes, contexts and relationships;</w:t>
                </w:r>
              </w:p>
              <w:p w14:paraId="0808289E" w14:textId="77777777" w:rsidR="006D1B0B" w:rsidRDefault="006D1B0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  <w:p w14:paraId="3C0AE979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AI-powered sentiment analysis of text entries (e.g. to surface frustrations, humour, gratitude, joy);</w:t>
                </w:r>
              </w:p>
              <w:p w14:paraId="09ABAA04" w14:textId="77777777" w:rsidR="006D1B0B" w:rsidRDefault="006D1B0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  <w:p w14:paraId="19A613E0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Transcribed video entries analysed thematically, or alternatively, videos are live coded (Parameswaran et al., 2019)</w:t>
                </w:r>
              </w:p>
              <w:p w14:paraId="1355499A" w14:textId="77777777" w:rsidR="006D1B0B" w:rsidRDefault="006D1B0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6D1B0B" w14:paraId="089A795F" w14:textId="77777777">
            <w:tc>
              <w:tcPr>
                <w:tcW w:w="254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1EC23A1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How is a strong sense of community among recent migrants and asylum-seekers in urban settings constructed?</w:t>
                </w:r>
              </w:p>
            </w:tc>
            <w:tc>
              <w:tcPr>
                <w:tcW w:w="254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B1FC75B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Collect WhatsApp messages and group chat interactions to analyse how support networks form;</w:t>
                </w:r>
              </w:p>
              <w:p w14:paraId="4D2FCF2A" w14:textId="77777777" w:rsidR="006D1B0B" w:rsidRDefault="006D1B0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  <w:p w14:paraId="3E2B67AF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Ask participants to take snapshots of social gatherings and places and spaces fostering belonging</w:t>
                </w:r>
              </w:p>
              <w:p w14:paraId="22356DDB" w14:textId="77777777" w:rsidR="006D1B0B" w:rsidRDefault="006D1B0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  <w:p w14:paraId="76C436C2" w14:textId="77777777" w:rsidR="006D1B0B" w:rsidRDefault="006D1B0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54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075A643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TEXT + IMAGES</w:t>
                </w:r>
              </w:p>
            </w:tc>
            <w:tc>
              <w:tcPr>
                <w:tcW w:w="254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C7846DD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Conversation/ discourse analysis of group chats;</w:t>
                </w:r>
              </w:p>
              <w:p w14:paraId="4D433CB0" w14:textId="77777777" w:rsidR="006D1B0B" w:rsidRDefault="006D1B0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  <w:p w14:paraId="277C12D1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Visual and/or thematic analysis of images;</w:t>
                </w:r>
              </w:p>
              <w:p w14:paraId="5DEA9E76" w14:textId="77777777" w:rsidR="006D1B0B" w:rsidRDefault="006D1B0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  <w:p w14:paraId="0CCDFA19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Photo elicitation interviews - transcribed and analysed qualitatively</w:t>
                </w:r>
              </w:p>
              <w:p w14:paraId="550053C4" w14:textId="77777777" w:rsidR="006D1B0B" w:rsidRDefault="006D1B0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6D1B0B" w14:paraId="17FA573F" w14:textId="77777777">
            <w:tc>
              <w:tcPr>
                <w:tcW w:w="254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92EEBF5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lastRenderedPageBreak/>
                  <w:t>How do formerly homeless adults engage in community roles and activities once moving into permanent housing?</w:t>
                </w:r>
              </w:p>
            </w:tc>
            <w:tc>
              <w:tcPr>
                <w:tcW w:w="254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81EE38F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Understand patterns of community engagement and integration, including places, encounters and services that promote citizenship and inclusion;</w:t>
                </w:r>
              </w:p>
              <w:p w14:paraId="240C985A" w14:textId="77777777" w:rsidR="006D1B0B" w:rsidRDefault="006D1B0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  <w:p w14:paraId="123D7F67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Ask participants to make daily recordings of meaningful relationships, activities and other experiences using text and voice notes and images (mobile ethnography);</w:t>
                </w:r>
              </w:p>
              <w:p w14:paraId="5C4D4990" w14:textId="77777777" w:rsidR="006D1B0B" w:rsidRDefault="006D1B0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  <w:p w14:paraId="1C0C0D87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Track participants’ movements to understand neighbourhood integration and access to community spaces</w:t>
                </w:r>
              </w:p>
              <w:p w14:paraId="156FC352" w14:textId="77777777" w:rsidR="006D1B0B" w:rsidRDefault="006D1B0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54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BA4DB01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TEXT + IMAGES + AUDIO + GEOSPATIAL</w:t>
                </w:r>
              </w:p>
            </w:tc>
            <w:tc>
              <w:tcPr>
                <w:tcW w:w="254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E72BABB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Social network mapping;</w:t>
                </w:r>
              </w:p>
              <w:p w14:paraId="1272A46D" w14:textId="77777777" w:rsidR="006D1B0B" w:rsidRDefault="006D1B0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  <w:p w14:paraId="531AB340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GIS software-assisted mapping of movements and spatial relationships;</w:t>
                </w:r>
              </w:p>
              <w:p w14:paraId="425B8D4B" w14:textId="77777777" w:rsidR="006D1B0B" w:rsidRDefault="006D1B0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  <w:p w14:paraId="4D48576D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Qualitative coding of interviews, text responses and participatory mapping;</w:t>
                </w:r>
              </w:p>
              <w:p w14:paraId="6B4EE0FD" w14:textId="77777777" w:rsidR="006D1B0B" w:rsidRDefault="006D1B0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  <w:p w14:paraId="4C1A356F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Integrating quantitative measures (e.g. distance walked, places visited);</w:t>
                </w:r>
              </w:p>
              <w:p w14:paraId="2480AFFA" w14:textId="77777777" w:rsidR="006D1B0B" w:rsidRDefault="006D1B0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  <w:p w14:paraId="77EBDCB0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Photo elicitation (Karadzhov, 2023);</w:t>
                </w:r>
              </w:p>
              <w:p w14:paraId="2E7E4818" w14:textId="77777777" w:rsidR="006D1B0B" w:rsidRDefault="006D1B0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  <w:p w14:paraId="3DA099CF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Multi-modal coding (Craig et al., 2021)</w:t>
                </w:r>
              </w:p>
              <w:p w14:paraId="553972EA" w14:textId="77777777" w:rsidR="006D1B0B" w:rsidRDefault="006D1B0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6D1B0B" w14:paraId="4D35FC18" w14:textId="77777777">
            <w:tc>
              <w:tcPr>
                <w:tcW w:w="254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9F1D65D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How do social entrepreneurs in low-resource settings maintain their resilience and well-being over time?</w:t>
                </w:r>
              </w:p>
            </w:tc>
            <w:tc>
              <w:tcPr>
                <w:tcW w:w="254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DB99CC1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Capture reflections and activities through text and video content;</w:t>
                </w:r>
              </w:p>
              <w:p w14:paraId="64BF7266" w14:textId="77777777" w:rsidR="006D1B0B" w:rsidRDefault="006D1B0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  <w:p w14:paraId="1F94AE8A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Use smartphone journals (text or voice notes) where participants log daily habits, productivity rituals, coping strategies and moments of low/high mood;</w:t>
                </w:r>
              </w:p>
              <w:p w14:paraId="25F8A4CC" w14:textId="77777777" w:rsidR="006D1B0B" w:rsidRDefault="006D1B0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  <w:p w14:paraId="4ED6F695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Analyse LinkedIn posts, TikTok videos, and business-related chats</w:t>
                </w:r>
              </w:p>
              <w:p w14:paraId="27BE8F1E" w14:textId="77777777" w:rsidR="006D1B0B" w:rsidRDefault="006D1B0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54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4853555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TEXT + VIDEO</w:t>
                </w:r>
              </w:p>
              <w:p w14:paraId="155BEA01" w14:textId="77777777" w:rsidR="006D1B0B" w:rsidRDefault="006D1B0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  <w:p w14:paraId="022CDFF7" w14:textId="77777777" w:rsidR="006D1B0B" w:rsidRDefault="006D1B0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54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E98B1AB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Thematic analysis of textual data;</w:t>
                </w:r>
              </w:p>
              <w:p w14:paraId="12E4A3AD" w14:textId="77777777" w:rsidR="006D1B0B" w:rsidRDefault="006D1B0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  <w:p w14:paraId="6867D0F4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Content and sentiment analysis of videos;</w:t>
                </w:r>
              </w:p>
              <w:p w14:paraId="71C807D0" w14:textId="77777777" w:rsidR="006D1B0B" w:rsidRDefault="006D1B0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  <w:p w14:paraId="21E0BB56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Multi-modal coding (Craig et al., 2021)</w:t>
                </w:r>
              </w:p>
              <w:p w14:paraId="457FA6FC" w14:textId="77777777" w:rsidR="006D1B0B" w:rsidRDefault="006D1B0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6D1B0B" w14:paraId="46C79663" w14:textId="77777777">
            <w:tc>
              <w:tcPr>
                <w:tcW w:w="254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B1509CC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lastRenderedPageBreak/>
                  <w:t>What role does music play in enhancing everyday well-being in discharged mental health patients?</w:t>
                </w:r>
              </w:p>
              <w:p w14:paraId="6125B238" w14:textId="77777777" w:rsidR="006D1B0B" w:rsidRDefault="006D1B0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54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E3309BF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Uncover key ways participants use music to facilitate recovery and enrich their lives;</w:t>
                </w:r>
              </w:p>
              <w:p w14:paraId="0709EAD0" w14:textId="77777777" w:rsidR="006D1B0B" w:rsidRDefault="006D1B0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  <w:p w14:paraId="2281DBF2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Ask participants to record short reflections or playlists on their smartphones, explaining how music affects their mood</w:t>
                </w:r>
              </w:p>
              <w:p w14:paraId="6ADF9719" w14:textId="77777777" w:rsidR="006D1B0B" w:rsidRDefault="006D1B0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54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EB47F2A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TEXT + AUDIO</w:t>
                </w:r>
              </w:p>
              <w:p w14:paraId="0D7F2316" w14:textId="77777777" w:rsidR="006D1B0B" w:rsidRDefault="006D1B0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  <w:p w14:paraId="6171B8A4" w14:textId="77777777" w:rsidR="006D1B0B" w:rsidRDefault="006D1B0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54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2C54783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Transcribe audio entries and analyse thematically;</w:t>
                </w:r>
              </w:p>
              <w:p w14:paraId="455567EC" w14:textId="77777777" w:rsidR="006D1B0B" w:rsidRDefault="006D1B0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  <w:p w14:paraId="7880A1D2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Audio elicitation interviews (Kahlke et al., 2025)</w:t>
                </w:r>
              </w:p>
              <w:p w14:paraId="79CCF45D" w14:textId="77777777" w:rsidR="006D1B0B" w:rsidRDefault="00B870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</w:tbl>
      </w:sdtContent>
    </w:sdt>
    <w:p w14:paraId="71E11E84" w14:textId="77777777" w:rsidR="006D1B0B" w:rsidRDefault="006D1B0B"/>
    <w:p w14:paraId="645CA3E3" w14:textId="77777777" w:rsidR="006D1B0B" w:rsidRDefault="006D1B0B"/>
    <w:p w14:paraId="51083812" w14:textId="77777777" w:rsidR="006D1B0B" w:rsidRDefault="00B870B0">
      <w:pPr>
        <w:pStyle w:val="Heading2"/>
      </w:pPr>
      <w:bookmarkStart w:id="2" w:name="_heading=h.oqltblht8d3r" w:colFirst="0" w:colLast="0"/>
      <w:bookmarkEnd w:id="2"/>
      <w:r>
        <w:t>Further Reading</w:t>
      </w:r>
    </w:p>
    <w:p w14:paraId="435BE700" w14:textId="77777777" w:rsidR="006D1B0B" w:rsidRDefault="00B870B0">
      <w:r>
        <w:t xml:space="preserve">Chamberlain, K., Cain, T., Sheridan, J. and Dupuis, A., 2011. Pluralisms in qualitative research: from multiple methods to integrated methods. </w:t>
      </w:r>
      <w:r>
        <w:rPr>
          <w:i/>
        </w:rPr>
        <w:t>Qualitative Research in Psychology,</w:t>
      </w:r>
      <w:r>
        <w:t xml:space="preserve"> 8(2), pp.151-169. https://doi.org/10.1080/14780887.2011.572730 </w:t>
      </w:r>
    </w:p>
    <w:p w14:paraId="37B9CA62" w14:textId="77777777" w:rsidR="006D1B0B" w:rsidRDefault="00B870B0">
      <w:r>
        <w:t xml:space="preserve">Davidson, J.C., Karadzhov, D. and Wilson, G., 2024. Designing a multinational smartphone app survey during COVID-19: rewards, risks, and recommendations. </w:t>
      </w:r>
      <w:r>
        <w:rPr>
          <w:i/>
        </w:rPr>
        <w:t xml:space="preserve">Field Methods, </w:t>
      </w:r>
      <w:r>
        <w:t xml:space="preserve">36(4), pp.328-342. https://doi.org/10.1177/1525822X231218192 </w:t>
      </w:r>
    </w:p>
    <w:p w14:paraId="6D95F434" w14:textId="77777777" w:rsidR="006D1B0B" w:rsidRDefault="00B870B0">
      <w:r>
        <w:t xml:space="preserve">Dawson, C. 2020. </w:t>
      </w:r>
      <w:r>
        <w:rPr>
          <w:i/>
        </w:rPr>
        <w:t>A-Z of Digital Research Methods.</w:t>
      </w:r>
      <w:r>
        <w:t xml:space="preserve"> London and New York: Routledge.</w:t>
      </w:r>
    </w:p>
    <w:p w14:paraId="2CC67098" w14:textId="77777777" w:rsidR="006D1B0B" w:rsidRDefault="00B870B0">
      <w:r>
        <w:t xml:space="preserve">Fayn, M.G., des </w:t>
      </w:r>
      <w:proofErr w:type="spellStart"/>
      <w:r>
        <w:t>Garets</w:t>
      </w:r>
      <w:proofErr w:type="spellEnd"/>
      <w:r>
        <w:t xml:space="preserve">, V. and Rivière, A., 2021. Collective empowerment of an online patient community: conceptualizing process dynamics using a multi-method qualitative approach. </w:t>
      </w:r>
      <w:r>
        <w:rPr>
          <w:i/>
        </w:rPr>
        <w:t>BMC Health Services Research</w:t>
      </w:r>
      <w:r>
        <w:t xml:space="preserve">, 21, pp.1-19. https://doi.org/10.1186/s12913-021-06988-y </w:t>
      </w:r>
    </w:p>
    <w:p w14:paraId="53DA3AE1" w14:textId="77777777" w:rsidR="006D1B0B" w:rsidRDefault="00B870B0">
      <w:r>
        <w:t xml:space="preserve">Kahlke, R., Maggio, L.A., Lee, M.C., Cristancho, S., LaDonna, K., Abdallah, Z., Khehra, A., </w:t>
      </w:r>
      <w:proofErr w:type="spellStart"/>
      <w:r>
        <w:t>Kshatri</w:t>
      </w:r>
      <w:proofErr w:type="spellEnd"/>
      <w:r>
        <w:t xml:space="preserve">, K., Horsley, T. and </w:t>
      </w:r>
      <w:proofErr w:type="spellStart"/>
      <w:r>
        <w:t>Varpio</w:t>
      </w:r>
      <w:proofErr w:type="spellEnd"/>
      <w:r>
        <w:t xml:space="preserve">, L., 2025. When words fail us: an integrative review of innovative elicitation techniques for qualitative interviews. </w:t>
      </w:r>
      <w:r>
        <w:rPr>
          <w:i/>
        </w:rPr>
        <w:t xml:space="preserve">Medical Education, </w:t>
      </w:r>
      <w:r>
        <w:t>59(4), pp.382-394. doi:10.1111/medu.15555</w:t>
      </w:r>
    </w:p>
    <w:p w14:paraId="7611A466" w14:textId="77777777" w:rsidR="006D1B0B" w:rsidRDefault="00B870B0">
      <w:r>
        <w:t xml:space="preserve">Karadzhov, D., 2023. ‘Trials and tribulations’: the ambivalent influence of temporary accommodation on mental health recovery in chronically homeless adults. </w:t>
      </w:r>
      <w:r>
        <w:rPr>
          <w:i/>
        </w:rPr>
        <w:t>Qualitative Health Research,</w:t>
      </w:r>
      <w:r>
        <w:t xml:space="preserve"> 33(3), pp.176-190. doi:10.1177/10497323221147127 </w:t>
      </w:r>
    </w:p>
    <w:p w14:paraId="1DDCD504" w14:textId="77777777" w:rsidR="006D1B0B" w:rsidRDefault="00B870B0">
      <w:r>
        <w:t xml:space="preserve">Parameswaran, U.D., Ozawa-Kirk, J.L. and Latendresse, G., 2020. To live (code) or to not: a new method for coding in qualitative research. </w:t>
      </w:r>
      <w:r>
        <w:rPr>
          <w:i/>
        </w:rPr>
        <w:t>Qualitative Social Work,</w:t>
      </w:r>
      <w:r>
        <w:t xml:space="preserve"> 19(4), pp.630-644. https://doi.org/10.1177/1473325019840394</w:t>
      </w:r>
    </w:p>
    <w:p w14:paraId="3BE4CCF3" w14:textId="77777777" w:rsidR="006D1B0B" w:rsidRDefault="00B870B0">
      <w:r>
        <w:lastRenderedPageBreak/>
        <w:t xml:space="preserve">Roberts, J., </w:t>
      </w:r>
      <w:proofErr w:type="spellStart"/>
      <w:r>
        <w:t>Onuegbu</w:t>
      </w:r>
      <w:proofErr w:type="spellEnd"/>
      <w:r>
        <w:t xml:space="preserve">, C., Harris, B., Clark, C., Griffiths, F., Seers, K., </w:t>
      </w:r>
      <w:proofErr w:type="spellStart"/>
      <w:r>
        <w:t>Aktas</w:t>
      </w:r>
      <w:proofErr w:type="spellEnd"/>
      <w:r>
        <w:t xml:space="preserve">, P., Staniszewska, S. and Boardman, F., 2025. Comparing in-person and remote qualitative data collection methods for data quality and inclusion: a scoping review. </w:t>
      </w:r>
      <w:r>
        <w:rPr>
          <w:i/>
        </w:rPr>
        <w:t>International Journal of Qualitative Methods,</w:t>
      </w:r>
      <w:r>
        <w:t xml:space="preserve"> 24. https://doi.org/10.1177/16094069251316745 </w:t>
      </w:r>
    </w:p>
    <w:p w14:paraId="53975F97" w14:textId="77777777" w:rsidR="006D1B0B" w:rsidRDefault="00B870B0">
      <w:r>
        <w:t xml:space="preserve">Roberts, J.K., Pavlakis, A.E. and Richards, M.P., 2021. It’s more complicated than it seems: virtual qualitative research in the COVID-19 era. </w:t>
      </w:r>
      <w:r>
        <w:rPr>
          <w:i/>
        </w:rPr>
        <w:t>International Journal of Qualitative Methods, 2</w:t>
      </w:r>
      <w:r>
        <w:t xml:space="preserve">0. https://doi.org/10.1177/16094069211002959 </w:t>
      </w:r>
    </w:p>
    <w:p w14:paraId="713B1179" w14:textId="77777777" w:rsidR="006D1B0B" w:rsidRDefault="00B870B0">
      <w:r>
        <w:t xml:space="preserve">Welford, J., Sandhu, J., Collinson, B. and Blatchford, S., 2022. Collecting qualitative data using a smartphone app: learning from research involving people with experience of multiple disadvantage. </w:t>
      </w:r>
      <w:r>
        <w:rPr>
          <w:i/>
        </w:rPr>
        <w:t>Methodological Innovations</w:t>
      </w:r>
      <w:r>
        <w:t xml:space="preserve">, 15(3), pp.193-206. https://doi.org/10.1177/20597991221114570 </w:t>
      </w:r>
    </w:p>
    <w:p w14:paraId="021A4533" w14:textId="77777777" w:rsidR="006D1B0B" w:rsidRDefault="006D1B0B"/>
    <w:p w14:paraId="44DD5AEB" w14:textId="77777777" w:rsidR="006D1B0B" w:rsidRDefault="006D1B0B"/>
    <w:p w14:paraId="7AF5B559" w14:textId="77777777" w:rsidR="006D1B0B" w:rsidRDefault="006D1B0B"/>
    <w:p w14:paraId="3F3B0F38" w14:textId="77777777" w:rsidR="006D1B0B" w:rsidRDefault="006D1B0B"/>
    <w:p w14:paraId="57C3A2CC" w14:textId="77777777" w:rsidR="006D1B0B" w:rsidRDefault="006D1B0B"/>
    <w:p w14:paraId="07494295" w14:textId="77777777" w:rsidR="006D1B0B" w:rsidRDefault="00B870B0">
      <w:pPr>
        <w:rPr>
          <w:sz w:val="20"/>
          <w:szCs w:val="20"/>
        </w:rPr>
      </w:pPr>
      <w:r>
        <w:rPr>
          <w:sz w:val="20"/>
          <w:szCs w:val="20"/>
        </w:rPr>
        <w:t>National Centre for Research Methods (NCRM)</w:t>
      </w:r>
      <w:r>
        <w:rPr>
          <w:sz w:val="20"/>
          <w:szCs w:val="20"/>
        </w:rPr>
        <w:br/>
        <w:t>Social Sciences</w:t>
      </w:r>
      <w:r>
        <w:rPr>
          <w:sz w:val="20"/>
          <w:szCs w:val="20"/>
        </w:rPr>
        <w:br/>
        <w:t>Murray Building (</w:t>
      </w:r>
      <w:proofErr w:type="spellStart"/>
      <w:r>
        <w:rPr>
          <w:sz w:val="20"/>
          <w:szCs w:val="20"/>
        </w:rPr>
        <w:t>Bldg</w:t>
      </w:r>
      <w:proofErr w:type="spellEnd"/>
      <w:r>
        <w:rPr>
          <w:sz w:val="20"/>
          <w:szCs w:val="20"/>
        </w:rPr>
        <w:t xml:space="preserve"> 58)</w:t>
      </w:r>
      <w:r>
        <w:rPr>
          <w:sz w:val="20"/>
          <w:szCs w:val="20"/>
        </w:rPr>
        <w:br/>
        <w:t>University of Southampton</w:t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Southampton</w:t>
      </w:r>
      <w:proofErr w:type="spellEnd"/>
      <w:r>
        <w:rPr>
          <w:sz w:val="20"/>
          <w:szCs w:val="20"/>
        </w:rPr>
        <w:t xml:space="preserve"> SO17 1BJ</w:t>
      </w:r>
      <w:r>
        <w:rPr>
          <w:sz w:val="20"/>
          <w:szCs w:val="20"/>
        </w:rPr>
        <w:br/>
        <w:t>United Kingdom</w:t>
      </w:r>
    </w:p>
    <w:p w14:paraId="208BF2C5" w14:textId="77777777" w:rsidR="006D1B0B" w:rsidRDefault="00B870B0">
      <w:pPr>
        <w:rPr>
          <w:sz w:val="20"/>
          <w:szCs w:val="20"/>
        </w:rPr>
      </w:pPr>
      <w:r>
        <w:rPr>
          <w:b/>
          <w:sz w:val="20"/>
          <w:szCs w:val="20"/>
        </w:rPr>
        <w:t>Web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www.ncrm.ac.uk 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Email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info@ncrm.ac.uk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Tel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+44 23 8059 4539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Twitter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@NCRMUK </w:t>
      </w:r>
    </w:p>
    <w:p w14:paraId="33ED4297" w14:textId="77777777" w:rsidR="006D1B0B" w:rsidRDefault="006D1B0B"/>
    <w:sectPr w:rsidR="006D1B0B">
      <w:headerReference w:type="default" r:id="rId9"/>
      <w:footerReference w:type="even" r:id="rId10"/>
      <w:footerReference w:type="default" r:id="rId11"/>
      <w:footerReference w:type="first" r:id="rId12"/>
      <w:pgSz w:w="11900" w:h="16840"/>
      <w:pgMar w:top="851" w:right="851" w:bottom="851" w:left="85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7FF3A" w14:textId="77777777" w:rsidR="00B870B0" w:rsidRDefault="00B870B0">
      <w:pPr>
        <w:spacing w:after="0" w:line="240" w:lineRule="auto"/>
      </w:pPr>
      <w:r>
        <w:separator/>
      </w:r>
    </w:p>
  </w:endnote>
  <w:endnote w:type="continuationSeparator" w:id="0">
    <w:p w14:paraId="64237AEF" w14:textId="77777777" w:rsidR="00B870B0" w:rsidRDefault="00B87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3E2A0" w14:textId="77777777" w:rsidR="006D1B0B" w:rsidRDefault="00B870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545860"/>
      </w:rPr>
    </w:pPr>
    <w:r>
      <w:rPr>
        <w:color w:val="545860"/>
      </w:rPr>
      <w:fldChar w:fldCharType="begin"/>
    </w:r>
    <w:r>
      <w:rPr>
        <w:color w:val="545860"/>
      </w:rPr>
      <w:instrText>PAGE</w:instrText>
    </w:r>
    <w:r>
      <w:rPr>
        <w:color w:val="545860"/>
      </w:rPr>
      <w:fldChar w:fldCharType="separate"/>
    </w:r>
    <w:r>
      <w:rPr>
        <w:color w:val="545860"/>
      </w:rPr>
      <w:fldChar w:fldCharType="end"/>
    </w:r>
  </w:p>
  <w:p w14:paraId="2C49F383" w14:textId="77777777" w:rsidR="006D1B0B" w:rsidRDefault="006D1B0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545860"/>
      </w:rPr>
    </w:pPr>
  </w:p>
  <w:p w14:paraId="2C0FA4D5" w14:textId="77777777" w:rsidR="006D1B0B" w:rsidRDefault="006D1B0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C086E" w14:textId="77777777" w:rsidR="006D1B0B" w:rsidRDefault="00B870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545860"/>
      </w:rPr>
    </w:pPr>
    <w:r>
      <w:rPr>
        <w:color w:val="545860"/>
      </w:rPr>
      <w:fldChar w:fldCharType="begin"/>
    </w:r>
    <w:r>
      <w:rPr>
        <w:color w:val="545860"/>
      </w:rPr>
      <w:instrText>PAGE</w:instrText>
    </w:r>
    <w:r>
      <w:rPr>
        <w:color w:val="545860"/>
      </w:rPr>
      <w:fldChar w:fldCharType="separate"/>
    </w:r>
    <w:r>
      <w:rPr>
        <w:noProof/>
        <w:color w:val="545860"/>
      </w:rPr>
      <w:t>2</w:t>
    </w:r>
    <w:r>
      <w:rPr>
        <w:color w:val="545860"/>
      </w:rPr>
      <w:fldChar w:fldCharType="end"/>
    </w:r>
  </w:p>
  <w:p w14:paraId="544C37CE" w14:textId="77777777" w:rsidR="006D1B0B" w:rsidRDefault="006D1B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35493" w14:textId="77777777" w:rsidR="006D1B0B" w:rsidRDefault="00B870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545860"/>
      </w:rPr>
    </w:pPr>
    <w:r>
      <w:rPr>
        <w:color w:val="54586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98607" w14:textId="77777777" w:rsidR="00B870B0" w:rsidRDefault="00B870B0">
      <w:pPr>
        <w:spacing w:after="0" w:line="240" w:lineRule="auto"/>
      </w:pPr>
      <w:r>
        <w:separator/>
      </w:r>
    </w:p>
  </w:footnote>
  <w:footnote w:type="continuationSeparator" w:id="0">
    <w:p w14:paraId="4C4B6559" w14:textId="77777777" w:rsidR="00B870B0" w:rsidRDefault="00B87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A1285" w14:textId="77777777" w:rsidR="006D1B0B" w:rsidRDefault="00B870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4586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3B4CF46" wp14:editId="5A8094E8">
          <wp:simplePos x="0" y="0"/>
          <wp:positionH relativeFrom="column">
            <wp:posOffset>-539748</wp:posOffset>
          </wp:positionH>
          <wp:positionV relativeFrom="paragraph">
            <wp:posOffset>-363853</wp:posOffset>
          </wp:positionV>
          <wp:extent cx="7560000" cy="10699498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06994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B0B"/>
    <w:rsid w:val="006D1B0B"/>
    <w:rsid w:val="00B870B0"/>
    <w:rsid w:val="00CD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5FCA85"/>
  <w15:docId w15:val="{8E3ACA5E-0C96-4AAF-A4E0-18D875AD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545860"/>
        <w:sz w:val="24"/>
        <w:szCs w:val="24"/>
        <w:lang w:val="en-GB" w:eastAsia="en-GB" w:bidi="he-IL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2F5"/>
    <w:rPr>
      <w:color w:val="54586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56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A5CB7" w:themeColor="accen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56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A5CB7" w:themeColor="accen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56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A5CB7" w:themeColor="accent2"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56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A5CB7" w:themeColor="accen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56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A5CB7" w:themeColor="accen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56D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A5CB7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056D4"/>
    <w:pPr>
      <w:contextualSpacing/>
    </w:pPr>
    <w:rPr>
      <w:rFonts w:asciiTheme="majorHAnsi" w:eastAsiaTheme="majorEastAsia" w:hAnsiTheme="majorHAnsi" w:cstheme="majorBidi"/>
      <w:color w:val="3A5CB7" w:themeColor="accent2"/>
      <w:spacing w:val="-10"/>
      <w:kern w:val="28"/>
      <w:sz w:val="72"/>
      <w:szCs w:val="56"/>
    </w:rPr>
  </w:style>
  <w:style w:type="paragraph" w:styleId="NoSpacing">
    <w:name w:val="No Spacing"/>
    <w:link w:val="NoSpacingChar"/>
    <w:uiPriority w:val="1"/>
    <w:qFormat/>
    <w:rsid w:val="00FF4027"/>
    <w:rPr>
      <w:rFonts w:eastAsiaTheme="minorEastAsia"/>
      <w:color w:val="545860" w:themeColor="text1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FF4027"/>
    <w:rPr>
      <w:rFonts w:eastAsiaTheme="minorEastAsia"/>
      <w:color w:val="545860" w:themeColor="text1"/>
      <w:sz w:val="22"/>
      <w:szCs w:val="22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10"/>
    <w:rsid w:val="00B056D4"/>
    <w:rPr>
      <w:rFonts w:asciiTheme="majorHAnsi" w:eastAsiaTheme="majorEastAsia" w:hAnsiTheme="majorHAnsi" w:cstheme="majorBidi"/>
      <w:color w:val="3A5CB7" w:themeColor="accent2"/>
      <w:spacing w:val="-10"/>
      <w:kern w:val="28"/>
      <w:sz w:val="72"/>
      <w:szCs w:val="56"/>
    </w:rPr>
  </w:style>
  <w:style w:type="character" w:styleId="Emphasis">
    <w:name w:val="Emphasis"/>
    <w:basedOn w:val="DefaultParagraphFont"/>
    <w:uiPriority w:val="20"/>
    <w:qFormat/>
    <w:rsid w:val="00FF4027"/>
    <w:rPr>
      <w:i/>
      <w:iCs/>
      <w:color w:val="545860" w:themeColor="text1"/>
    </w:rPr>
  </w:style>
  <w:style w:type="character" w:styleId="Strong">
    <w:name w:val="Strong"/>
    <w:basedOn w:val="DefaultParagraphFont"/>
    <w:uiPriority w:val="22"/>
    <w:qFormat/>
    <w:rsid w:val="00FF4027"/>
    <w:rPr>
      <w:b/>
      <w:bCs/>
      <w:color w:val="545860" w:themeColor="text1"/>
    </w:rPr>
  </w:style>
  <w:style w:type="paragraph" w:styleId="Header">
    <w:name w:val="header"/>
    <w:basedOn w:val="Normal"/>
    <w:link w:val="HeaderChar"/>
    <w:uiPriority w:val="99"/>
    <w:unhideWhenUsed/>
    <w:rsid w:val="004405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587"/>
    <w:rPr>
      <w:color w:val="545860" w:themeColor="text1"/>
    </w:rPr>
  </w:style>
  <w:style w:type="paragraph" w:styleId="Footer">
    <w:name w:val="footer"/>
    <w:basedOn w:val="Normal"/>
    <w:link w:val="FooterChar"/>
    <w:uiPriority w:val="99"/>
    <w:unhideWhenUsed/>
    <w:rsid w:val="004405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587"/>
    <w:rPr>
      <w:color w:val="54586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B056D4"/>
    <w:rPr>
      <w:rFonts w:asciiTheme="majorHAnsi" w:eastAsiaTheme="majorEastAsia" w:hAnsiTheme="majorHAnsi" w:cstheme="majorBidi"/>
      <w:color w:val="3A5CB7" w:themeColor="accent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56D4"/>
    <w:rPr>
      <w:rFonts w:asciiTheme="majorHAnsi" w:eastAsiaTheme="majorEastAsia" w:hAnsiTheme="majorHAnsi" w:cstheme="majorBidi"/>
      <w:color w:val="3A5CB7" w:themeColor="accent2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56D4"/>
    <w:rPr>
      <w:rFonts w:asciiTheme="majorHAnsi" w:eastAsiaTheme="majorEastAsia" w:hAnsiTheme="majorHAnsi" w:cstheme="majorBidi"/>
      <w:color w:val="3A5CB7" w:themeColor="accent2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1B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1B8"/>
    <w:rPr>
      <w:rFonts w:ascii="Times New Roman" w:hAnsi="Times New Roman" w:cs="Times New Roman"/>
      <w:color w:val="545860" w:themeColor="tex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51B8"/>
    <w:rPr>
      <w:color w:val="3A5CB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1B8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2751B8"/>
  </w:style>
  <w:style w:type="paragraph" w:styleId="ListParagraph">
    <w:name w:val="List Paragraph"/>
    <w:basedOn w:val="Normal"/>
    <w:uiPriority w:val="34"/>
    <w:qFormat/>
    <w:rsid w:val="006502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B056D4"/>
    <w:rPr>
      <w:rFonts w:asciiTheme="majorHAnsi" w:eastAsiaTheme="majorEastAsia" w:hAnsiTheme="majorHAnsi" w:cstheme="majorBidi"/>
      <w:i/>
      <w:iCs/>
      <w:color w:val="3A5CB7" w:themeColor="accent2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056D4"/>
    <w:rPr>
      <w:rFonts w:asciiTheme="majorHAnsi" w:eastAsiaTheme="majorEastAsia" w:hAnsiTheme="majorHAnsi" w:cstheme="majorBidi"/>
      <w:color w:val="3A5CB7" w:themeColor="accent2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56D4"/>
    <w:rPr>
      <w:rFonts w:asciiTheme="majorHAnsi" w:eastAsiaTheme="majorEastAsia" w:hAnsiTheme="majorHAnsi" w:cstheme="majorBidi"/>
      <w:color w:val="3A5CB7" w:themeColor="accent2"/>
      <w:sz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rm.ac.uk/resources/online/all/?id=2085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NCRM">
      <a:dk1>
        <a:srgbClr val="545860"/>
      </a:dk1>
      <a:lt1>
        <a:srgbClr val="FFFFFF"/>
      </a:lt1>
      <a:dk2>
        <a:srgbClr val="545860"/>
      </a:dk2>
      <a:lt2>
        <a:srgbClr val="E7E6E6"/>
      </a:lt2>
      <a:accent1>
        <a:srgbClr val="5BC3F5"/>
      </a:accent1>
      <a:accent2>
        <a:srgbClr val="3A5CB7"/>
      </a:accent2>
      <a:accent3>
        <a:srgbClr val="FFB653"/>
      </a:accent3>
      <a:accent4>
        <a:srgbClr val="E56B59"/>
      </a:accent4>
      <a:accent5>
        <a:srgbClr val="545860"/>
      </a:accent5>
      <a:accent6>
        <a:srgbClr val="E7E6E6"/>
      </a:accent6>
      <a:hlink>
        <a:srgbClr val="3A5CB7"/>
      </a:hlink>
      <a:folHlink>
        <a:srgbClr val="E56B5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pr39O1LCniu1PyE9kPqSH/Wh8Q==">CgMxLjAaHwoBMBIaChgICVIUChJ0YWJsZS42MjhoYzg1ZzF3c28aHwoBMRIaChgICVIUChJ0YWJsZS5jYnVwZjd2YzJ5cW0yDmgub3RmZDN5Y3Ixc293Mg5oLnZiZGU1ZTYzdXA3dzIOaC5vcWx0YmxodDhkM3I4AHIhMTIzOF9aSjN0UjQyT1VWZGcxZWMxaV9CN1gxaGgwR2hf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1035</Words>
  <Characters>7037</Characters>
  <Application>Microsoft Office Word</Application>
  <DocSecurity>0</DocSecurity>
  <Lines>390</Lines>
  <Paragraphs>118</Paragraphs>
  <ScaleCrop>false</ScaleCrop>
  <Company/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Blunt</dc:creator>
  <cp:lastModifiedBy>Gil Dekel</cp:lastModifiedBy>
  <cp:revision>2</cp:revision>
  <dcterms:created xsi:type="dcterms:W3CDTF">2020-05-12T17:20:00Z</dcterms:created>
  <dcterms:modified xsi:type="dcterms:W3CDTF">2025-05-12T10:28:00Z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cb0b535ee6f44300d73ce45f4ed8ac43bc27a2396199db2492383d660039a0ed</vt:lpwstr>
  </property>
</Properties>
</file>